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9678" w14:textId="77777777" w:rsidR="00283E07" w:rsidRPr="00283E07" w:rsidRDefault="00283E07" w:rsidP="00283E0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Recreation Sports Refund Policy</w:t>
      </w:r>
    </w:p>
    <w:p w14:paraId="2955AC88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Purpose</w:t>
      </w:r>
    </w:p>
    <w:p w14:paraId="682E76FA" w14:textId="1D771D41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The Town of </w:t>
      </w:r>
      <w:r>
        <w:rPr>
          <w:rFonts w:ascii="Calibri" w:hAnsi="Calibri" w:cs="Calibri"/>
          <w:sz w:val="22"/>
          <w:szCs w:val="22"/>
        </w:rPr>
        <w:t xml:space="preserve">Wiggins </w:t>
      </w:r>
      <w:r w:rsidRPr="00283E07">
        <w:rPr>
          <w:rFonts w:ascii="Calibri" w:hAnsi="Calibri" w:cs="Calibri"/>
          <w:sz w:val="22"/>
          <w:szCs w:val="22"/>
        </w:rPr>
        <w:t xml:space="preserve">Parks &amp; Recreation Department recognizes that situations may arise </w:t>
      </w:r>
      <w:r>
        <w:rPr>
          <w:rFonts w:ascii="Calibri" w:hAnsi="Calibri" w:cs="Calibri"/>
          <w:sz w:val="22"/>
          <w:szCs w:val="22"/>
        </w:rPr>
        <w:t>that</w:t>
      </w:r>
      <w:r w:rsidRPr="00283E07">
        <w:rPr>
          <w:rFonts w:ascii="Calibri" w:hAnsi="Calibri" w:cs="Calibri"/>
          <w:sz w:val="22"/>
          <w:szCs w:val="22"/>
        </w:rPr>
        <w:t xml:space="preserve"> prevent participants from taking part in a program after registering. This policy outlines how refunds or credits will be handled for recreation sports programs.</w:t>
      </w:r>
    </w:p>
    <w:p w14:paraId="599748E2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5121375E">
          <v:rect id="_x0000_i1079" style="width:0;height:1.5pt" o:hralign="center" o:hrstd="t" o:hr="t" fillcolor="#a0a0a0" stroked="f"/>
        </w:pict>
      </w:r>
    </w:p>
    <w:p w14:paraId="1BD3EDCE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1. General Policy</w:t>
      </w:r>
    </w:p>
    <w:p w14:paraId="1635D3DF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All refund requests must be made </w:t>
      </w:r>
      <w:proofErr w:type="gramStart"/>
      <w:r w:rsidRPr="00283E07">
        <w:rPr>
          <w:rFonts w:ascii="Calibri" w:hAnsi="Calibri" w:cs="Calibri"/>
          <w:sz w:val="22"/>
          <w:szCs w:val="22"/>
        </w:rPr>
        <w:t>in</w:t>
      </w:r>
      <w:proofErr w:type="gramEnd"/>
      <w:r w:rsidRPr="00283E07">
        <w:rPr>
          <w:rFonts w:ascii="Calibri" w:hAnsi="Calibri" w:cs="Calibri"/>
          <w:sz w:val="22"/>
          <w:szCs w:val="22"/>
        </w:rPr>
        <w:t xml:space="preserve"> writing (email or in person) to the Parks &amp; Recreation Department.</w:t>
      </w:r>
    </w:p>
    <w:p w14:paraId="2A0DD8D2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Refunds will be processed according to the following guidelines:</w:t>
      </w:r>
    </w:p>
    <w:p w14:paraId="7043BCB7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0255EA51">
          <v:rect id="_x0000_i1080" style="width:0;height:1.5pt" o:hralign="center" o:hrstd="t" o:hr="t" fillcolor="#a0a0a0" stroked="f"/>
        </w:pict>
      </w:r>
    </w:p>
    <w:p w14:paraId="71AB9CCF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2. Full Refunds</w:t>
      </w:r>
    </w:p>
    <w:p w14:paraId="5443C1E5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 100% refund (minus any processing fees) will be granted if:</w:t>
      </w:r>
    </w:p>
    <w:p w14:paraId="46724D5A" w14:textId="77777777" w:rsidR="00283E07" w:rsidRPr="00283E07" w:rsidRDefault="00283E07" w:rsidP="00283E0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The department cancels the program, class, or season.</w:t>
      </w:r>
    </w:p>
    <w:p w14:paraId="2A0E4366" w14:textId="77777777" w:rsidR="00283E07" w:rsidRPr="00283E07" w:rsidRDefault="00283E07" w:rsidP="00283E0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The participant withdraws before the registration deadline.</w:t>
      </w:r>
    </w:p>
    <w:p w14:paraId="003C6165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350ADEBF">
          <v:rect id="_x0000_i1081" style="width:0;height:1.5pt" o:hralign="center" o:hrstd="t" o:hr="t" fillcolor="#a0a0a0" stroked="f"/>
        </w:pict>
      </w:r>
    </w:p>
    <w:p w14:paraId="27712228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3. Partial Refunds</w:t>
      </w:r>
    </w:p>
    <w:p w14:paraId="13DB2128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 50% refund may be granted if:</w:t>
      </w:r>
    </w:p>
    <w:p w14:paraId="5893C329" w14:textId="77777777" w:rsidR="00283E07" w:rsidRPr="00283E07" w:rsidRDefault="00283E07" w:rsidP="00283E0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The participant withdraws after the registration deadline but before the first scheduled game or practice.</w:t>
      </w:r>
    </w:p>
    <w:p w14:paraId="37B2EE9C" w14:textId="77777777" w:rsidR="00283E07" w:rsidRPr="00283E07" w:rsidRDefault="00283E07" w:rsidP="00283E0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Uniforms or league fees have not yet been purchased.</w:t>
      </w:r>
    </w:p>
    <w:p w14:paraId="3F9F7D2F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Once uniforms, insurance, or league entry fees are paid on behalf of a participant, those costs are non-refundable.</w:t>
      </w:r>
    </w:p>
    <w:p w14:paraId="64924B97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7D101D80">
          <v:rect id="_x0000_i1082" style="width:0;height:1.5pt" o:hralign="center" o:hrstd="t" o:hr="t" fillcolor="#a0a0a0" stroked="f"/>
        </w:pict>
      </w:r>
    </w:p>
    <w:p w14:paraId="5B6ABFB0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4. No Refunds</w:t>
      </w:r>
    </w:p>
    <w:p w14:paraId="6387DAE2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Refunds will not be issued:</w:t>
      </w:r>
    </w:p>
    <w:p w14:paraId="6DE4FC4C" w14:textId="77777777" w:rsidR="00283E07" w:rsidRPr="00283E07" w:rsidRDefault="00283E07" w:rsidP="00283E0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After the first scheduled game or practice has occurred.</w:t>
      </w:r>
    </w:p>
    <w:p w14:paraId="04AFD48B" w14:textId="77777777" w:rsidR="00283E07" w:rsidRPr="00283E07" w:rsidRDefault="00283E07" w:rsidP="00283E0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For missed games, practices, or sessions due to personal schedules, vacations, or other conflicts.</w:t>
      </w:r>
    </w:p>
    <w:p w14:paraId="68797F62" w14:textId="77777777" w:rsidR="00283E07" w:rsidRPr="00283E07" w:rsidRDefault="00283E07" w:rsidP="00283E0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If a participant is removed for disciplinary reasons or violates the code of conduct.</w:t>
      </w:r>
    </w:p>
    <w:p w14:paraId="1818B6DC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6E48BFB8">
          <v:rect id="_x0000_i1083" style="width:0;height:1.5pt" o:hralign="center" o:hrstd="t" o:hr="t" fillcolor="#a0a0a0" stroked="f"/>
        </w:pict>
      </w:r>
    </w:p>
    <w:p w14:paraId="072BCAC0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lastRenderedPageBreak/>
        <w:t>5. Medical or Hardship Exceptions</w:t>
      </w:r>
    </w:p>
    <w:p w14:paraId="4CF36DFE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Refunds or credits may be considered on a case-by-case basis if a participant cannot continue due to:</w:t>
      </w:r>
    </w:p>
    <w:p w14:paraId="31CF7E3E" w14:textId="77777777" w:rsidR="00283E07" w:rsidRPr="00283E07" w:rsidRDefault="00283E07" w:rsidP="00283E0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 verified medical condition or injury (doctor’s note required), or</w:t>
      </w:r>
    </w:p>
    <w:p w14:paraId="002AE99E" w14:textId="77777777" w:rsidR="00283E07" w:rsidRPr="00283E07" w:rsidRDefault="00283E07" w:rsidP="00283E0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 family emergency or relocation out of the area.</w:t>
      </w:r>
    </w:p>
    <w:p w14:paraId="043015FE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Approved refunds under this section may be prorated based on participation to date.</w:t>
      </w:r>
    </w:p>
    <w:p w14:paraId="43C863C4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77EFD85F">
          <v:rect id="_x0000_i1084" style="width:0;height:1.5pt" o:hralign="center" o:hrstd="t" o:hr="t" fillcolor="#a0a0a0" stroked="f"/>
        </w:pict>
      </w:r>
    </w:p>
    <w:p w14:paraId="79A8311E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6. Refund Method</w:t>
      </w:r>
    </w:p>
    <w:p w14:paraId="46C3F2BF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All approved refunds will be issued:</w:t>
      </w:r>
    </w:p>
    <w:p w14:paraId="664471D6" w14:textId="77777777" w:rsidR="00283E07" w:rsidRPr="00283E07" w:rsidRDefault="00283E07" w:rsidP="00283E0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Within 30 business days of approval; and</w:t>
      </w:r>
    </w:p>
    <w:p w14:paraId="6AD00085" w14:textId="77777777" w:rsidR="00283E07" w:rsidRPr="00283E07" w:rsidRDefault="00283E07" w:rsidP="00283E0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By the original payment method (check, credit card, or system credit).</w:t>
      </w:r>
    </w:p>
    <w:p w14:paraId="46F79346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Processing fees from online registrations are non-refundable.</w:t>
      </w:r>
    </w:p>
    <w:p w14:paraId="22D9B401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474CAF52">
          <v:rect id="_x0000_i1085" style="width:0;height:1.5pt" o:hralign="center" o:hrstd="t" o:hr="t" fillcolor="#a0a0a0" stroked="f"/>
        </w:pict>
      </w:r>
    </w:p>
    <w:p w14:paraId="14DB6075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7. Transfers or Credits</w:t>
      </w:r>
    </w:p>
    <w:p w14:paraId="6C1BEF2B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Participants may choose to transfer their registration fee to another Parks &amp; Recreation program or apply it as a credit toward a future season within 12 months, pending department approval.</w:t>
      </w:r>
    </w:p>
    <w:p w14:paraId="06B3267B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63EEAB89">
          <v:rect id="_x0000_i1086" style="width:0;height:1.5pt" o:hralign="center" o:hrstd="t" o:hr="t" fillcolor="#a0a0a0" stroked="f"/>
        </w:pict>
      </w:r>
    </w:p>
    <w:p w14:paraId="21D7F8DA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8. Weather &amp; Cancellations</w:t>
      </w:r>
    </w:p>
    <w:p w14:paraId="482D5D62" w14:textId="6E6E4A5F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Games or practices cancelled due to weather will be </w:t>
      </w:r>
      <w:r w:rsidRPr="00283E07">
        <w:rPr>
          <w:rFonts w:ascii="Calibri" w:hAnsi="Calibri" w:cs="Calibri"/>
          <w:sz w:val="22"/>
          <w:szCs w:val="22"/>
        </w:rPr>
        <w:t>rescheduled,</w:t>
      </w:r>
      <w:r w:rsidRPr="00283E07">
        <w:rPr>
          <w:rFonts w:ascii="Calibri" w:hAnsi="Calibri" w:cs="Calibri"/>
          <w:sz w:val="22"/>
          <w:szCs w:val="22"/>
        </w:rPr>
        <w:t xml:space="preserve"> when possible, but no refunds will be issued for events cancelled due to weather, field conditions, or other circumstances beyond the department’s control.</w:t>
      </w:r>
    </w:p>
    <w:p w14:paraId="0F644C00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pict w14:anchorId="5637A34D">
          <v:rect id="_x0000_i1087" style="width:0;height:1.5pt" o:hralign="center" o:hrstd="t" o:hr="t" fillcolor="#a0a0a0" stroked="f"/>
        </w:pict>
      </w:r>
    </w:p>
    <w:p w14:paraId="15C455D9" w14:textId="77777777" w:rsidR="00283E07" w:rsidRPr="00283E07" w:rsidRDefault="00283E07" w:rsidP="00283E07">
      <w:pPr>
        <w:rPr>
          <w:rFonts w:ascii="Calibri" w:hAnsi="Calibri" w:cs="Calibri"/>
          <w:b/>
          <w:bCs/>
          <w:sz w:val="22"/>
          <w:szCs w:val="22"/>
        </w:rPr>
      </w:pPr>
      <w:r w:rsidRPr="00283E07">
        <w:rPr>
          <w:rFonts w:ascii="Calibri" w:hAnsi="Calibri" w:cs="Calibri"/>
          <w:b/>
          <w:bCs/>
          <w:sz w:val="22"/>
          <w:szCs w:val="22"/>
        </w:rPr>
        <w:t>Contact</w:t>
      </w:r>
    </w:p>
    <w:p w14:paraId="270B2E5F" w14:textId="77777777" w:rsidR="00283E07" w:rsidRPr="00283E07" w:rsidRDefault="00283E07" w:rsidP="00283E07">
      <w:pPr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For refund requests or questions, please contact:</w:t>
      </w:r>
    </w:p>
    <w:p w14:paraId="72FEBA37" w14:textId="77777777" w:rsidR="00283E07" w:rsidRPr="00283E07" w:rsidRDefault="00283E07" w:rsidP="00283E07">
      <w:pPr>
        <w:spacing w:after="0"/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>Parks &amp; Recreation Department</w:t>
      </w:r>
    </w:p>
    <w:p w14:paraId="313AC9AA" w14:textId="7BB1CAE6" w:rsidR="00283E07" w:rsidRPr="00283E07" w:rsidRDefault="00283E07" w:rsidP="00283E07">
      <w:pPr>
        <w:spacing w:after="0"/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Phone: </w:t>
      </w:r>
      <w:r>
        <w:rPr>
          <w:rFonts w:ascii="Calibri" w:hAnsi="Calibri" w:cs="Calibri"/>
          <w:sz w:val="22"/>
          <w:szCs w:val="22"/>
        </w:rPr>
        <w:t>970-441-1038</w:t>
      </w:r>
    </w:p>
    <w:p w14:paraId="37575800" w14:textId="1B1CB80F" w:rsidR="00283E07" w:rsidRPr="00283E07" w:rsidRDefault="00283E07" w:rsidP="00283E07">
      <w:pPr>
        <w:spacing w:after="0"/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Email: </w:t>
      </w:r>
      <w:hyperlink r:id="rId5" w:tgtFrame="_blank" w:history="1">
        <w:r w:rsidRPr="00283E07">
          <w:rPr>
            <w:rStyle w:val="Hyperlink"/>
            <w:rFonts w:ascii="Calibri" w:hAnsi="Calibri" w:cs="Calibri"/>
            <w:sz w:val="22"/>
            <w:szCs w:val="22"/>
          </w:rPr>
          <w:t>parks@wigginsco.gov</w:t>
        </w:r>
      </w:hyperlink>
    </w:p>
    <w:p w14:paraId="2CD7B84A" w14:textId="43809B51" w:rsidR="00283E07" w:rsidRPr="00283E07" w:rsidRDefault="00283E07" w:rsidP="00283E07">
      <w:pPr>
        <w:spacing w:after="0"/>
        <w:rPr>
          <w:rFonts w:ascii="Calibri" w:hAnsi="Calibri" w:cs="Calibri"/>
          <w:sz w:val="22"/>
          <w:szCs w:val="22"/>
        </w:rPr>
      </w:pPr>
      <w:r w:rsidRPr="00283E07">
        <w:rPr>
          <w:rFonts w:ascii="Calibri" w:hAnsi="Calibri" w:cs="Calibri"/>
          <w:sz w:val="22"/>
          <w:szCs w:val="22"/>
        </w:rPr>
        <w:t xml:space="preserve">Address: </w:t>
      </w:r>
      <w:r>
        <w:rPr>
          <w:rFonts w:ascii="Calibri" w:hAnsi="Calibri" w:cs="Calibri"/>
          <w:sz w:val="22"/>
          <w:szCs w:val="22"/>
        </w:rPr>
        <w:t>304 Central Ave. Wiggins, CO 80654</w:t>
      </w:r>
    </w:p>
    <w:p w14:paraId="383FD294" w14:textId="77777777" w:rsidR="00DB2FF9" w:rsidRDefault="00DB2FF9"/>
    <w:sectPr w:rsidR="00DB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045F"/>
    <w:multiLevelType w:val="multilevel"/>
    <w:tmpl w:val="CC8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350C7"/>
    <w:multiLevelType w:val="multilevel"/>
    <w:tmpl w:val="486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22932"/>
    <w:multiLevelType w:val="multilevel"/>
    <w:tmpl w:val="548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104F4"/>
    <w:multiLevelType w:val="multilevel"/>
    <w:tmpl w:val="583E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4107D"/>
    <w:multiLevelType w:val="multilevel"/>
    <w:tmpl w:val="9D7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143011">
    <w:abstractNumId w:val="3"/>
  </w:num>
  <w:num w:numId="2" w16cid:durableId="1863080889">
    <w:abstractNumId w:val="1"/>
  </w:num>
  <w:num w:numId="3" w16cid:durableId="1257668037">
    <w:abstractNumId w:val="0"/>
  </w:num>
  <w:num w:numId="4" w16cid:durableId="1253003695">
    <w:abstractNumId w:val="2"/>
  </w:num>
  <w:num w:numId="5" w16cid:durableId="117711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7"/>
    <w:rsid w:val="00252A4B"/>
    <w:rsid w:val="00283E07"/>
    <w:rsid w:val="00DB2FF9"/>
    <w:rsid w:val="00E8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576E9"/>
  <w15:chartTrackingRefBased/>
  <w15:docId w15:val="{31119742-10BF-4AB1-9557-FE947C2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E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s@wigginsc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2174</Characters>
  <Application>Microsoft Office Word</Application>
  <DocSecurity>0</DocSecurity>
  <Lines>58</Lines>
  <Paragraphs>47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Sidell</dc:creator>
  <cp:keywords/>
  <dc:description/>
  <cp:lastModifiedBy>Ashley Sidell</cp:lastModifiedBy>
  <cp:revision>1</cp:revision>
  <dcterms:created xsi:type="dcterms:W3CDTF">2025-10-30T14:44:00Z</dcterms:created>
  <dcterms:modified xsi:type="dcterms:W3CDTF">2025-10-30T14:49:00Z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9d517cb4-e2b3-4687-b18d-bf688d23d15e</vt:lpwstr>
  </property>
</Properties>
</file>